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方正小标宋简体" w:hAnsi="方正小标宋简体" w:eastAsia="方正小标宋简体" w:cs="方正小标宋简体"/>
          <w:b w:val="0"/>
          <w:bCs/>
          <w:color w:val="auto"/>
          <w:w w:val="100"/>
          <w:szCs w:val="22"/>
        </w:rPr>
      </w:pPr>
      <w:bookmarkStart w:id="0" w:name="_GoBack"/>
      <w:r>
        <w:rPr>
          <w:rFonts w:hint="eastAsia" w:ascii="方正小标宋简体" w:hAnsi="方正小标宋简体" w:eastAsia="方正小标宋简体" w:cs="方正小标宋简体"/>
          <w:b w:val="0"/>
          <w:bCs/>
          <w:color w:val="auto"/>
          <w:w w:val="100"/>
          <w:szCs w:val="22"/>
        </w:rPr>
        <w:t>海南省优化大师级人才服务保障实施办法</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center"/>
        <w:textAlignment w:val="auto"/>
        <w:rPr>
          <w:rFonts w:hint="eastAsia" w:ascii="仿宋_GB2312" w:hAnsi="仿宋_GB2312" w:eastAsia="仿宋_GB2312" w:cs="仿宋_GB2312"/>
          <w:i w:val="0"/>
          <w:caps w:val="0"/>
          <w:color w:val="auto"/>
          <w:spacing w:val="0"/>
          <w:sz w:val="32"/>
          <w:szCs w:val="32"/>
          <w:u w:val="none"/>
          <w:shd w:val="clear" w:fill="FFFFFF"/>
          <w:lang w:eastAsia="zh-CN"/>
        </w:rPr>
      </w:pPr>
      <w:r>
        <w:rPr>
          <w:rFonts w:hint="eastAsia" w:ascii="仿宋_GB2312" w:hAnsi="仿宋_GB2312" w:eastAsia="仿宋_GB2312" w:cs="仿宋_GB2312"/>
          <w:i w:val="0"/>
          <w:caps w:val="0"/>
          <w:color w:val="auto"/>
          <w:spacing w:val="0"/>
          <w:sz w:val="32"/>
          <w:szCs w:val="32"/>
          <w:u w:val="none"/>
          <w:shd w:val="clear" w:fill="FFFFFF"/>
          <w:lang w:eastAsia="zh-CN"/>
        </w:rPr>
        <w:t>（</w:t>
      </w:r>
      <w:r>
        <w:rPr>
          <w:rFonts w:hint="eastAsia" w:ascii="仿宋_GB2312" w:hAnsi="仿宋_GB2312" w:eastAsia="仿宋_GB2312" w:cs="仿宋_GB2312"/>
          <w:i w:val="0"/>
          <w:caps w:val="0"/>
          <w:color w:val="auto"/>
          <w:spacing w:val="0"/>
          <w:sz w:val="32"/>
          <w:szCs w:val="32"/>
          <w:u w:val="none"/>
          <w:shd w:val="clear" w:fill="FFFFFF"/>
        </w:rPr>
        <w:t>中共海南省委人才工作委员会</w:t>
      </w:r>
      <w:r>
        <w:rPr>
          <w:rFonts w:hint="eastAsia" w:ascii="仿宋_GB2312" w:hAnsi="仿宋_GB2312" w:eastAsia="仿宋_GB2312" w:cs="仿宋_GB2312"/>
          <w:i w:val="0"/>
          <w:caps w:val="0"/>
          <w:color w:val="auto"/>
          <w:spacing w:val="0"/>
          <w:sz w:val="32"/>
          <w:szCs w:val="32"/>
          <w:u w:val="none"/>
          <w:shd w:val="clear" w:fill="FFFFFF"/>
          <w:lang w:val="en-US" w:eastAsia="zh-CN"/>
        </w:rPr>
        <w:t xml:space="preserve">    </w:t>
      </w:r>
      <w:r>
        <w:rPr>
          <w:rFonts w:hint="eastAsia" w:ascii="仿宋_GB2312" w:hAnsi="仿宋_GB2312" w:eastAsia="仿宋_GB2312" w:cs="仿宋_GB2312"/>
          <w:i w:val="0"/>
          <w:caps w:val="0"/>
          <w:color w:val="auto"/>
          <w:spacing w:val="0"/>
          <w:sz w:val="32"/>
          <w:szCs w:val="32"/>
          <w:u w:val="none"/>
          <w:shd w:val="clear" w:fill="FFFFFF"/>
        </w:rPr>
        <w:t>2020年4月15日</w:t>
      </w:r>
      <w:r>
        <w:rPr>
          <w:rFonts w:hint="eastAsia" w:ascii="仿宋_GB2312" w:hAnsi="仿宋_GB2312" w:eastAsia="仿宋_GB2312" w:cs="仿宋_GB2312"/>
          <w:i w:val="0"/>
          <w:caps w:val="0"/>
          <w:color w:val="auto"/>
          <w:spacing w:val="0"/>
          <w:sz w:val="32"/>
          <w:szCs w:val="32"/>
          <w:u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第一条 为深入贯彻落实习近平总书记在庆祝海南建省办经济特区30周年大会上的重要讲话和《中共中央、国务院关于支持海南全面深化改革开放的指导意见》(中发﹝2018﹞12号)精神，认真贯彻落实中央和省委关于加强党委联系服务专家工作的部署要求，加强大师级人才引进支持和服务保障工作，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第二条 本办法适用于符合《海南省高层次人才分类标准》，由我省企事业单位全职引进(聘期5年以上，每年累计在琼工作6个月以上)或培养入选的大师级人才。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第三条 全职引进或培养入选时，给予大师级人才一次性人才补贴300万元，薪酬待遇按照“一事一议”方式给予支持。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第四条 按照属地原则向大师级人才提供人才公寓(套型建筑面积一般不超过200平方米)，8年免收租金。全职工作满5年由政府无偿赠与80%产权，满8年无偿赠与100%产权。可根据需要在琼购买1套住房。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第五条 大师级人才依申请可直接取得小客车其他指标。用人单位按规定应优先提供公务用车便利，根据科研工作按需提供办公用房。因公出行用人单位可协调空港、车站、码头使用贵宾室、要客通道，乘坐交通工具的等级可参照《海南省省直机关差旅费管理办法》(琼财行﹝2014﹞493号)省级及相当职务人员标准执行。因公出差可联系海南省驻外办事机构提供车辆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第六条 大师级人才纳入省保健委医疗保健服务对象范围，按副省级享受医疗保健服务待遇。省级医疗保障行政部门每年按照1万元标准为其统一购买商业健康团体保险。优先推荐参加中央、省委组织的专家休假疗养活动。其配偶及直系亲属在全省二级以上公立医院(含各类公立专科医院)就医可享受服务医院VIP诊室就医绿色通道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第七条 大师级人才子女在我省参加高考不受报考批次限制，子女、(外)孙子女中小学、幼儿园入学事宜采取“一事一议”方式解决。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第八条 大师级人才根据团队建设需要，每个申报周期可举荐1名高层次人才优先入选我省“南海系列”育才计划;可引荐1名高层次人才优先入选我省“千人专项”引才计划。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第九条 鼓励用人单位配套制定大师级人才相关保障服务办法，支持专设服务机构，安排专人管理大师级人才工作科研活动经费、协调学术活动、接待处理来电来函来访等，做好工作生活服务保障。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第十条 对涉及大师级人才的其他服务保障事宜以及上述条款无法解决的事宜，可由用人单位提出，省委人才工作委员会办公室会同相关部门采用“一事一议”方式予以研究，报省委人才工作委员会同意后组织实施。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第十一条 外籍院士等达到我省大师级人才层次的，全职在琼工作期间服务保障工作参照本办法执行。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第十二条 本办法所需人才补贴、住房保障、医疗保障经费从省人才开发专项资金预算中列支。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第十三条 本办法具体解释工作由省委人才工作委员会办公室负责。</w:t>
      </w:r>
    </w:p>
    <w:p>
      <w:pPr>
        <w:pageBreakBefore w:val="0"/>
        <w:kinsoku/>
        <w:overflowPunct/>
        <w:topLinePunct w:val="0"/>
        <w:autoSpaceDE/>
        <w:autoSpaceDN/>
        <w:bidi w:val="0"/>
        <w:adjustRightInd/>
        <w:spacing w:line="440" w:lineRule="exact"/>
        <w:ind w:firstLine="640" w:firstLineChars="200"/>
        <w:rPr>
          <w:rFonts w:hint="eastAsia" w:ascii="仿宋_GB2312" w:hAnsi="仿宋_GB2312" w:eastAsia="仿宋_GB2312" w:cs="仿宋_GB2312"/>
          <w:i w:val="0"/>
          <w:caps w:val="0"/>
          <w:color w:val="auto"/>
          <w:spacing w:val="0"/>
          <w:sz w:val="32"/>
          <w:szCs w:val="32"/>
          <w:u w:val="none"/>
          <w:shd w:val="clear" w:fill="FFFFFF"/>
        </w:rPr>
      </w:pPr>
      <w:r>
        <w:rPr>
          <w:rFonts w:hint="eastAsia" w:ascii="仿宋_GB2312" w:hAnsi="仿宋_GB2312" w:eastAsia="仿宋_GB2312" w:cs="仿宋_GB2312"/>
          <w:i w:val="0"/>
          <w:caps w:val="0"/>
          <w:color w:val="auto"/>
          <w:spacing w:val="0"/>
          <w:sz w:val="32"/>
          <w:szCs w:val="32"/>
          <w:u w:val="none"/>
          <w:shd w:val="clear" w:fill="FFFFFF"/>
        </w:rPr>
        <w:t>第十四条 本办法自印发之日起施行。此前发布政策与本办法有不一致的，按照从新从优原则执行。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E02E9"/>
    <w:rsid w:val="3B3E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2020-10-21T08:26:00Z</dcterms:created>
  <dc:creator>晓玲</dc:creator>
  <cp:lastModifiedBy>晓玲</cp:lastModifiedBy>
  <dcterms:modified xsi:type="dcterms:W3CDTF">2020-10-21T08:26:18Z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